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AE15" w14:textId="241B38EB" w:rsidR="000B4F13" w:rsidRPr="00015566" w:rsidRDefault="000B4F13" w:rsidP="000B4F13">
      <w:pPr>
        <w:tabs>
          <w:tab w:val="left" w:pos="720"/>
          <w:tab w:val="left" w:pos="90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Dokumentation Prüfprozess für den an VIDIS angeschlossenen Dienst</w:t>
      </w:r>
    </w:p>
    <w:p w14:paraId="0E641541" w14:textId="77777777" w:rsidR="000B4F13" w:rsidRDefault="000B4F13" w:rsidP="000B4F13">
      <w:pPr>
        <w:tabs>
          <w:tab w:val="left" w:pos="720"/>
          <w:tab w:val="left" w:pos="900"/>
        </w:tabs>
        <w:spacing w:line="360" w:lineRule="auto"/>
        <w:rPr>
          <w:b/>
        </w:rPr>
      </w:pPr>
    </w:p>
    <w:p w14:paraId="309005E1" w14:textId="25120F8A" w:rsidR="000B4F13" w:rsidRPr="00015566" w:rsidRDefault="00FA160F" w:rsidP="000B4F13">
      <w:pPr>
        <w:tabs>
          <w:tab w:val="clear" w:pos="170"/>
          <w:tab w:val="clear" w:pos="7371"/>
          <w:tab w:val="clear" w:pos="7796"/>
          <w:tab w:val="clear" w:pos="9923"/>
          <w:tab w:val="left" w:pos="720"/>
          <w:tab w:val="left" w:pos="900"/>
        </w:tabs>
        <w:spacing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proofErr w:type="spellStart"/>
      <w:r>
        <w:rPr>
          <w:b/>
          <w:sz w:val="40"/>
          <w:szCs w:val="32"/>
        </w:rPr>
        <w:t>QuaMath</w:t>
      </w:r>
      <w:proofErr w:type="spellEnd"/>
    </w:p>
    <w:p w14:paraId="203E431C" w14:textId="77777777" w:rsidR="000B4F13" w:rsidRDefault="000B4F13" w:rsidP="000B4F13">
      <w:pPr>
        <w:tabs>
          <w:tab w:val="left" w:pos="720"/>
          <w:tab w:val="left" w:pos="900"/>
        </w:tabs>
        <w:spacing w:line="360" w:lineRule="auto"/>
        <w:rPr>
          <w:b/>
        </w:rPr>
      </w:pPr>
    </w:p>
    <w:p w14:paraId="0FA14FC2" w14:textId="66BC3FCB" w:rsidR="000B4F13" w:rsidRPr="00015566" w:rsidRDefault="000B4F13" w:rsidP="000B4F13">
      <w:pPr>
        <w:tabs>
          <w:tab w:val="left" w:pos="720"/>
          <w:tab w:val="left" w:pos="900"/>
        </w:tabs>
        <w:spacing w:line="360" w:lineRule="auto"/>
        <w:rPr>
          <w:sz w:val="24"/>
          <w:szCs w:val="24"/>
        </w:rPr>
      </w:pPr>
      <w:r w:rsidRPr="00015566">
        <w:rPr>
          <w:b/>
          <w:sz w:val="24"/>
          <w:szCs w:val="24"/>
        </w:rPr>
        <w:t xml:space="preserve">gemäß Prüfschema des </w:t>
      </w:r>
      <w:r>
        <w:rPr>
          <w:b/>
          <w:sz w:val="24"/>
          <w:szCs w:val="24"/>
        </w:rPr>
        <w:t xml:space="preserve">Niedersächsischen Kultusministeriums </w:t>
      </w:r>
      <w:r w:rsidRPr="00015566">
        <w:rPr>
          <w:b/>
          <w:sz w:val="24"/>
          <w:szCs w:val="24"/>
        </w:rPr>
        <w:t xml:space="preserve">Niedersachsen </w:t>
      </w:r>
    </w:p>
    <w:p w14:paraId="3A7D7D00" w14:textId="77777777" w:rsidR="000B4F13" w:rsidRDefault="000B4F13" w:rsidP="000B4F13">
      <w:pPr>
        <w:tabs>
          <w:tab w:val="left" w:pos="720"/>
          <w:tab w:val="left" w:pos="900"/>
        </w:tabs>
      </w:pPr>
    </w:p>
    <w:p w14:paraId="7B313353" w14:textId="77777777" w:rsidR="000B4F13" w:rsidRDefault="000B4F13" w:rsidP="000B4F13">
      <w:pPr>
        <w:tabs>
          <w:tab w:val="left" w:pos="720"/>
          <w:tab w:val="left" w:pos="900"/>
        </w:tabs>
      </w:pPr>
    </w:p>
    <w:p w14:paraId="298AFE8D" w14:textId="77777777" w:rsidR="000B4F13" w:rsidRDefault="000B4F13" w:rsidP="000B4F13">
      <w:pPr>
        <w:tabs>
          <w:tab w:val="left" w:pos="720"/>
          <w:tab w:val="left" w:pos="900"/>
        </w:tabs>
      </w:pPr>
    </w:p>
    <w:p w14:paraId="54542364" w14:textId="77777777" w:rsidR="000B4F13" w:rsidRPr="00C66DFC" w:rsidRDefault="000B4F13" w:rsidP="000B4F13">
      <w:pPr>
        <w:pStyle w:val="berschrift2ohneAufzhlung"/>
      </w:pPr>
      <w:r>
        <w:t>Dokumenteninformation</w:t>
      </w:r>
    </w:p>
    <w:tbl>
      <w:tblPr>
        <w:tblStyle w:val="Gitternetztabelle2Akzent41"/>
        <w:tblW w:w="0" w:type="auto"/>
        <w:tblLook w:val="04A0" w:firstRow="1" w:lastRow="0" w:firstColumn="1" w:lastColumn="0" w:noHBand="0" w:noVBand="1"/>
      </w:tblPr>
      <w:tblGrid>
        <w:gridCol w:w="1128"/>
        <w:gridCol w:w="1578"/>
        <w:gridCol w:w="4610"/>
        <w:gridCol w:w="1756"/>
      </w:tblGrid>
      <w:tr w:rsidR="000B4F13" w:rsidRPr="00F42480" w14:paraId="19D471DF" w14:textId="77777777" w:rsidTr="00095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3ADE87B3" w14:textId="77777777" w:rsidR="000B4F13" w:rsidRPr="00F42480" w:rsidRDefault="000B4F13" w:rsidP="00060AA4">
            <w:pPr>
              <w:pStyle w:val="Tabelle"/>
            </w:pPr>
            <w:r w:rsidRPr="00F42480">
              <w:t>Version</w:t>
            </w:r>
          </w:p>
        </w:tc>
        <w:tc>
          <w:tcPr>
            <w:tcW w:w="1578" w:type="dxa"/>
          </w:tcPr>
          <w:p w14:paraId="0608A5BD" w14:textId="77777777" w:rsidR="000B4F13" w:rsidRPr="00F42480" w:rsidRDefault="000B4F13" w:rsidP="00060AA4">
            <w:pPr>
              <w:pStyle w:val="Tabel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2480">
              <w:t>Status</w:t>
            </w:r>
          </w:p>
        </w:tc>
        <w:tc>
          <w:tcPr>
            <w:tcW w:w="4610" w:type="dxa"/>
          </w:tcPr>
          <w:p w14:paraId="14CAF09F" w14:textId="77777777" w:rsidR="000B4F13" w:rsidRPr="00F42480" w:rsidRDefault="000B4F13" w:rsidP="00060AA4">
            <w:pPr>
              <w:pStyle w:val="Tabel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2480">
              <w:t>Änderung</w:t>
            </w:r>
          </w:p>
        </w:tc>
        <w:tc>
          <w:tcPr>
            <w:tcW w:w="1756" w:type="dxa"/>
          </w:tcPr>
          <w:p w14:paraId="487DB6A3" w14:textId="77777777" w:rsidR="000B4F13" w:rsidRPr="00F42480" w:rsidRDefault="000B4F13" w:rsidP="00060AA4">
            <w:pPr>
              <w:pStyle w:val="Tabel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2480">
              <w:t>Datum</w:t>
            </w:r>
          </w:p>
        </w:tc>
      </w:tr>
      <w:tr w:rsidR="000B4F13" w:rsidRPr="00F42480" w14:paraId="5B067C1E" w14:textId="77777777" w:rsidTr="00095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062125A6" w14:textId="23F5D89D" w:rsidR="000B4F13" w:rsidRPr="00F42480" w:rsidRDefault="00FA160F" w:rsidP="00060AA4">
            <w:pPr>
              <w:pStyle w:val="Tabelle"/>
            </w:pPr>
            <w:r>
              <w:t>1.0</w:t>
            </w:r>
          </w:p>
        </w:tc>
        <w:tc>
          <w:tcPr>
            <w:tcW w:w="1578" w:type="dxa"/>
          </w:tcPr>
          <w:p w14:paraId="40ADF62B" w14:textId="77777777" w:rsidR="000B4F13" w:rsidRPr="00F42480" w:rsidRDefault="000B4F13" w:rsidP="00060AA4">
            <w:pPr>
              <w:pStyle w:val="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2480">
              <w:t>In Erstellung</w:t>
            </w:r>
          </w:p>
        </w:tc>
        <w:tc>
          <w:tcPr>
            <w:tcW w:w="4610" w:type="dxa"/>
          </w:tcPr>
          <w:p w14:paraId="6CC9B78B" w14:textId="77777777" w:rsidR="000B4F13" w:rsidRPr="00F42480" w:rsidRDefault="000B4F13" w:rsidP="00060AA4">
            <w:pPr>
              <w:pStyle w:val="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2480">
              <w:t>Erstversion</w:t>
            </w:r>
            <w:r>
              <w:t xml:space="preserve"> (Entwurf), Dirk Sudmann</w:t>
            </w:r>
          </w:p>
        </w:tc>
        <w:tc>
          <w:tcPr>
            <w:tcW w:w="1756" w:type="dxa"/>
          </w:tcPr>
          <w:p w14:paraId="11934D3B" w14:textId="0B00F0AB" w:rsidR="000B4F13" w:rsidRPr="00F42480" w:rsidRDefault="00E97704" w:rsidP="00060AA4">
            <w:pPr>
              <w:pStyle w:val="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0B4F13">
              <w:t>.0</w:t>
            </w:r>
            <w:r>
              <w:t>9</w:t>
            </w:r>
            <w:r w:rsidR="000B4F13">
              <w:t>.2025</w:t>
            </w:r>
          </w:p>
        </w:tc>
      </w:tr>
      <w:tr w:rsidR="000B4F13" w:rsidRPr="00F42480" w14:paraId="53160171" w14:textId="77777777" w:rsidTr="00095D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22D460C5" w14:textId="031E9445" w:rsidR="000B4F13" w:rsidRPr="00F42480" w:rsidRDefault="000B4F13" w:rsidP="00060AA4">
            <w:pPr>
              <w:pStyle w:val="Tabelle"/>
            </w:pPr>
          </w:p>
        </w:tc>
        <w:tc>
          <w:tcPr>
            <w:tcW w:w="1578" w:type="dxa"/>
          </w:tcPr>
          <w:p w14:paraId="48911F30" w14:textId="3DABCE85" w:rsidR="000B4F13" w:rsidRPr="00F42480" w:rsidRDefault="000B4F13" w:rsidP="00060AA4">
            <w:pPr>
              <w:pStyle w:val="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10" w:type="dxa"/>
          </w:tcPr>
          <w:p w14:paraId="02664211" w14:textId="2983BB0E" w:rsidR="000B4F13" w:rsidRPr="00F42480" w:rsidRDefault="000B4F13" w:rsidP="00060AA4">
            <w:pPr>
              <w:pStyle w:val="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2801408C" w14:textId="27DA0CD3" w:rsidR="000B4F13" w:rsidRPr="00F42480" w:rsidRDefault="000B4F13" w:rsidP="00060AA4">
            <w:pPr>
              <w:pStyle w:val="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4F13" w:rsidRPr="00F42480" w14:paraId="4BA98CA0" w14:textId="77777777" w:rsidTr="00095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6198D24E" w14:textId="58F44E9E" w:rsidR="000B4F13" w:rsidRPr="00F42480" w:rsidRDefault="000B4F13" w:rsidP="00060AA4">
            <w:pPr>
              <w:pStyle w:val="Tabelle"/>
            </w:pPr>
          </w:p>
        </w:tc>
        <w:tc>
          <w:tcPr>
            <w:tcW w:w="1578" w:type="dxa"/>
          </w:tcPr>
          <w:p w14:paraId="3EC8F345" w14:textId="4F2BA8B7" w:rsidR="000B4F13" w:rsidRPr="00F42480" w:rsidRDefault="000B4F13" w:rsidP="00060AA4">
            <w:pPr>
              <w:pStyle w:val="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10" w:type="dxa"/>
          </w:tcPr>
          <w:p w14:paraId="3E297E5A" w14:textId="472AC746" w:rsidR="000B4F13" w:rsidRPr="00F42480" w:rsidRDefault="000B4F13" w:rsidP="00060AA4">
            <w:pPr>
              <w:pStyle w:val="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58E105D4" w14:textId="5AF5D399" w:rsidR="000B4F13" w:rsidRPr="00F42480" w:rsidRDefault="000B4F13" w:rsidP="00060AA4">
            <w:pPr>
              <w:pStyle w:val="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4F13" w:rsidRPr="00F42480" w14:paraId="129BB2D4" w14:textId="77777777" w:rsidTr="00095D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4284C492" w14:textId="77777777" w:rsidR="000B4F13" w:rsidRPr="00F42480" w:rsidRDefault="000B4F13" w:rsidP="00060AA4">
            <w:pPr>
              <w:pStyle w:val="Tabelle"/>
            </w:pPr>
          </w:p>
        </w:tc>
        <w:tc>
          <w:tcPr>
            <w:tcW w:w="1578" w:type="dxa"/>
          </w:tcPr>
          <w:p w14:paraId="7A75E4D6" w14:textId="77777777" w:rsidR="000B4F13" w:rsidRPr="00F42480" w:rsidRDefault="000B4F13" w:rsidP="00060AA4">
            <w:pPr>
              <w:pStyle w:val="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10" w:type="dxa"/>
          </w:tcPr>
          <w:p w14:paraId="17D8D0BE" w14:textId="77777777" w:rsidR="000B4F13" w:rsidRPr="00F42480" w:rsidRDefault="000B4F13" w:rsidP="00060AA4">
            <w:pPr>
              <w:pStyle w:val="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73CCCB2F" w14:textId="77777777" w:rsidR="000B4F13" w:rsidRPr="00F42480" w:rsidRDefault="000B4F13" w:rsidP="00060AA4">
            <w:pPr>
              <w:pStyle w:val="Tabel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4F13" w:rsidRPr="00F42480" w14:paraId="682DF168" w14:textId="77777777" w:rsidTr="00095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7A282017" w14:textId="77777777" w:rsidR="000B4F13" w:rsidRPr="00F42480" w:rsidRDefault="000B4F13" w:rsidP="00060AA4">
            <w:pPr>
              <w:pStyle w:val="Tabelle"/>
            </w:pPr>
          </w:p>
        </w:tc>
        <w:tc>
          <w:tcPr>
            <w:tcW w:w="1578" w:type="dxa"/>
          </w:tcPr>
          <w:p w14:paraId="70641195" w14:textId="77777777" w:rsidR="000B4F13" w:rsidRPr="00F42480" w:rsidRDefault="000B4F13" w:rsidP="00060AA4">
            <w:pPr>
              <w:pStyle w:val="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10" w:type="dxa"/>
          </w:tcPr>
          <w:p w14:paraId="4A036B74" w14:textId="77777777" w:rsidR="000B4F13" w:rsidRPr="00F42480" w:rsidRDefault="000B4F13" w:rsidP="00060AA4">
            <w:pPr>
              <w:pStyle w:val="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6" w:type="dxa"/>
          </w:tcPr>
          <w:p w14:paraId="003E1165" w14:textId="77777777" w:rsidR="000B4F13" w:rsidRPr="00F42480" w:rsidRDefault="000B4F13" w:rsidP="00060AA4">
            <w:pPr>
              <w:pStyle w:val="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BAE6FD9" w14:textId="4B324AD8" w:rsidR="00412778" w:rsidRDefault="00FA160F"/>
    <w:p w14:paraId="2F4662AA" w14:textId="77777777" w:rsidR="00BB2056" w:rsidRDefault="00BB2056">
      <w:pPr>
        <w:tabs>
          <w:tab w:val="clear" w:pos="170"/>
          <w:tab w:val="clear" w:pos="7371"/>
          <w:tab w:val="clear" w:pos="7796"/>
          <w:tab w:val="clear" w:pos="9923"/>
        </w:tabs>
        <w:spacing w:after="160" w:line="259" w:lineRule="auto"/>
        <w:jc w:val="left"/>
      </w:pPr>
    </w:p>
    <w:p w14:paraId="4E8C2FDC" w14:textId="0C90806F" w:rsidR="00BB2056" w:rsidRPr="00C66DFC" w:rsidRDefault="00BB2056" w:rsidP="00BB2056">
      <w:pPr>
        <w:pStyle w:val="berschrift2ohneAufzhlung"/>
      </w:pPr>
      <w:r>
        <w:t>Beschreibung des gesamten Prüfprozesses</w:t>
      </w:r>
    </w:p>
    <w:p w14:paraId="7DE6CF54" w14:textId="31FB8C59" w:rsidR="00B70950" w:rsidRDefault="005E4F51" w:rsidP="00B70950">
      <w:pPr>
        <w:tabs>
          <w:tab w:val="clear" w:pos="170"/>
          <w:tab w:val="clear" w:pos="7371"/>
          <w:tab w:val="clear" w:pos="7796"/>
          <w:tab w:val="clear" w:pos="9923"/>
        </w:tabs>
        <w:spacing w:after="160" w:line="259" w:lineRule="auto"/>
        <w:jc w:val="left"/>
      </w:pPr>
      <w:r>
        <w:t>Z</w:t>
      </w:r>
      <w:r w:rsidR="00B70950">
        <w:t xml:space="preserve">unächst </w:t>
      </w:r>
      <w:r>
        <w:t xml:space="preserve">wird geprüft, ob </w:t>
      </w:r>
      <w:r w:rsidR="00B70950">
        <w:t xml:space="preserve">die </w:t>
      </w:r>
      <w:r>
        <w:t xml:space="preserve">bei der FWU im Rahmen des Vidis-Prüfprozesses eingereichten </w:t>
      </w:r>
      <w:r w:rsidR="00B70950">
        <w:t xml:space="preserve">Unterlagen </w:t>
      </w:r>
      <w:r>
        <w:t>v</w:t>
      </w:r>
      <w:r w:rsidR="00B70950">
        <w:t>ollständig</w:t>
      </w:r>
      <w:r>
        <w:t xml:space="preserve"> vorliegen und den Prüfkriterien </w:t>
      </w:r>
      <w:r w:rsidR="00B70950">
        <w:t xml:space="preserve">gem. der </w:t>
      </w:r>
      <w:proofErr w:type="spellStart"/>
      <w:r w:rsidR="00B70950">
        <w:t>eduCheck</w:t>
      </w:r>
      <w:proofErr w:type="spellEnd"/>
      <w:r w:rsidR="00B70950">
        <w:t xml:space="preserve">-Digital-Kriterien </w:t>
      </w:r>
      <w:r>
        <w:t>entsprechend positiv bewertet wurden</w:t>
      </w:r>
      <w:r w:rsidR="00B70950">
        <w:t xml:space="preserve">. </w:t>
      </w:r>
    </w:p>
    <w:p w14:paraId="1AACD256" w14:textId="2E2492C4" w:rsidR="00B70950" w:rsidRDefault="00B70950" w:rsidP="00B70950">
      <w:pPr>
        <w:tabs>
          <w:tab w:val="clear" w:pos="170"/>
          <w:tab w:val="clear" w:pos="7371"/>
          <w:tab w:val="clear" w:pos="7796"/>
          <w:tab w:val="clear" w:pos="9923"/>
        </w:tabs>
        <w:spacing w:after="160" w:line="259" w:lineRule="auto"/>
        <w:jc w:val="left"/>
      </w:pPr>
      <w:r>
        <w:t xml:space="preserve">In einem zweiten Schritt </w:t>
      </w:r>
      <w:r w:rsidR="005E4F51">
        <w:t xml:space="preserve">werden </w:t>
      </w:r>
      <w:r>
        <w:t xml:space="preserve">dann die Anwendungen konkret und </w:t>
      </w:r>
      <w:r w:rsidR="00050B0A">
        <w:t xml:space="preserve">dabei speziell </w:t>
      </w:r>
      <w:r>
        <w:t>die Verarbeitungstätigkeiten und die Datenflüsse angesehen</w:t>
      </w:r>
      <w:r w:rsidR="00050B0A">
        <w:t xml:space="preserve">. Dabei wird im </w:t>
      </w:r>
      <w:r w:rsidR="005056CC">
        <w:t>Besonderen</w:t>
      </w:r>
      <w:r w:rsidR="00050B0A">
        <w:t xml:space="preserve"> im Hinblick auf die </w:t>
      </w:r>
      <w:r w:rsidR="005056CC">
        <w:t>niedersächsische</w:t>
      </w:r>
      <w:r w:rsidR="00050B0A">
        <w:t xml:space="preserve"> Digitalarchitektur betrachtet, </w:t>
      </w:r>
      <w:r>
        <w:t>welche Daten dabei an welcher Stelle erhoben</w:t>
      </w:r>
      <w:r w:rsidR="00050B0A">
        <w:t xml:space="preserve"> werden</w:t>
      </w:r>
      <w:r>
        <w:t>,</w:t>
      </w:r>
      <w:r w:rsidR="00050B0A">
        <w:t xml:space="preserve"> welche Daten dabei</w:t>
      </w:r>
      <w:r>
        <w:t xml:space="preserve"> von VIDIS</w:t>
      </w:r>
      <w:r w:rsidR="00050B0A">
        <w:t xml:space="preserve"> weitergeleitet werden</w:t>
      </w:r>
      <w:r>
        <w:t xml:space="preserve">, </w:t>
      </w:r>
      <w:r w:rsidR="00050B0A">
        <w:t xml:space="preserve">welche Daten wie </w:t>
      </w:r>
      <w:r>
        <w:t>verarbeitet/gespeichert/veröffentlicht</w:t>
      </w:r>
      <w:r w:rsidR="00050B0A">
        <w:t xml:space="preserve"> werden</w:t>
      </w:r>
      <w:r>
        <w:t xml:space="preserve"> und </w:t>
      </w:r>
      <w:r w:rsidR="005056CC">
        <w:t xml:space="preserve">welche </w:t>
      </w:r>
      <w:r>
        <w:t>potentielle</w:t>
      </w:r>
      <w:r w:rsidR="005056CC">
        <w:t>n</w:t>
      </w:r>
      <w:r>
        <w:t xml:space="preserve"> Risiken (Verfügbarkeit, Integrität, Vertraulichkeit) </w:t>
      </w:r>
      <w:r w:rsidR="005056CC">
        <w:t>bestehen/ auftreten können.</w:t>
      </w:r>
    </w:p>
    <w:p w14:paraId="730DFACA" w14:textId="35C6E137" w:rsidR="00B70950" w:rsidRDefault="00050B0A" w:rsidP="00B70950">
      <w:pPr>
        <w:tabs>
          <w:tab w:val="clear" w:pos="170"/>
          <w:tab w:val="clear" w:pos="7371"/>
          <w:tab w:val="clear" w:pos="7796"/>
          <w:tab w:val="clear" w:pos="9923"/>
        </w:tabs>
        <w:spacing w:after="160" w:line="259" w:lineRule="auto"/>
        <w:jc w:val="left"/>
      </w:pPr>
      <w:r>
        <w:t xml:space="preserve">Dabei wird im Rahmen einer </w:t>
      </w:r>
      <w:r w:rsidR="00B70950">
        <w:t xml:space="preserve">Schwellenwertanalyse </w:t>
      </w:r>
      <w:r>
        <w:t>geprüft</w:t>
      </w:r>
      <w:r w:rsidR="00B70950">
        <w:t>, ob eine DSFA erforderlich ist.</w:t>
      </w:r>
    </w:p>
    <w:p w14:paraId="002FCEF4" w14:textId="77777777" w:rsidR="00FF472F" w:rsidRDefault="00FF472F" w:rsidP="005D33A4">
      <w:pPr>
        <w:pStyle w:val="StandardWeb"/>
        <w:spacing w:before="0" w:beforeAutospacing="0" w:after="0" w:afterAutospacing="0"/>
      </w:pPr>
    </w:p>
    <w:p w14:paraId="167FB6DE" w14:textId="38D9376B" w:rsidR="005D33A4" w:rsidRPr="00FF472F" w:rsidRDefault="005D33A4" w:rsidP="005D33A4">
      <w:pPr>
        <w:pStyle w:val="StandardWeb"/>
        <w:spacing w:before="0" w:beforeAutospacing="0" w:after="0" w:afterAutospacing="0"/>
        <w:rPr>
          <w:rFonts w:ascii="Open Sans" w:hAnsi="Open Sans" w:cs="Open Sans"/>
          <w:sz w:val="20"/>
          <w:szCs w:val="20"/>
        </w:rPr>
      </w:pPr>
      <w:r w:rsidRPr="00FF472F">
        <w:rPr>
          <w:rFonts w:ascii="Open Sans" w:hAnsi="Open Sans" w:cs="Open Sans"/>
          <w:sz w:val="20"/>
          <w:szCs w:val="20"/>
        </w:rPr>
        <w:t>Eine datenschutzrechtliche Prüfung der Anwendung erfolgte durch:</w:t>
      </w:r>
    </w:p>
    <w:p w14:paraId="3C971513" w14:textId="77777777" w:rsidR="005D33A4" w:rsidRPr="00FF472F" w:rsidRDefault="005D33A4" w:rsidP="005D33A4">
      <w:pPr>
        <w:pStyle w:val="StandardWeb"/>
        <w:spacing w:before="0" w:beforeAutospacing="0" w:after="0" w:afterAutospacing="0"/>
        <w:rPr>
          <w:rFonts w:ascii="Open Sans" w:hAnsi="Open Sans" w:cs="Open Sans"/>
          <w:sz w:val="20"/>
          <w:szCs w:val="20"/>
        </w:rPr>
      </w:pPr>
      <w:r w:rsidRPr="00FF472F">
        <w:rPr>
          <w:rFonts w:ascii="Open Sans" w:hAnsi="Open Sans" w:cs="Open Sans"/>
          <w:sz w:val="20"/>
          <w:szCs w:val="20"/>
        </w:rPr>
        <w:t>(Vorname Name, Institution, Aufgabe)</w:t>
      </w:r>
    </w:p>
    <w:p w14:paraId="0B105D1C" w14:textId="5BB90BE8" w:rsidR="005D33A4" w:rsidRPr="00FF472F" w:rsidRDefault="005D33A4" w:rsidP="005D33A4">
      <w:pPr>
        <w:pStyle w:val="StandardWeb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FF472F">
        <w:rPr>
          <w:rFonts w:ascii="Open Sans" w:hAnsi="Open Sans" w:cs="Open Sans"/>
          <w:sz w:val="20"/>
          <w:szCs w:val="20"/>
        </w:rPr>
        <w:t>Dirk Sudmann, MK, Referat 54, Verantwortlich für VIDIS</w:t>
      </w:r>
    </w:p>
    <w:p w14:paraId="0DD0C188" w14:textId="5E1F7D70" w:rsidR="005D33A4" w:rsidRPr="00FF472F" w:rsidRDefault="005D33A4" w:rsidP="005D33A4">
      <w:pPr>
        <w:pStyle w:val="StandardWeb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FF472F">
        <w:rPr>
          <w:rFonts w:ascii="Open Sans" w:hAnsi="Open Sans" w:cs="Open Sans"/>
          <w:sz w:val="20"/>
          <w:szCs w:val="20"/>
        </w:rPr>
        <w:t xml:space="preserve">Boris Heithecker, </w:t>
      </w:r>
      <w:r w:rsidR="00095D37">
        <w:rPr>
          <w:rFonts w:ascii="Open Sans" w:hAnsi="Open Sans" w:cs="Open Sans"/>
          <w:sz w:val="20"/>
          <w:szCs w:val="20"/>
        </w:rPr>
        <w:t>NLQ, Fachbereich 52</w:t>
      </w:r>
    </w:p>
    <w:p w14:paraId="1DA347F1" w14:textId="7FBB9408" w:rsidR="005D33A4" w:rsidRPr="00FF472F" w:rsidRDefault="00F14352" w:rsidP="00F14352">
      <w:pPr>
        <w:pStyle w:val="StandardWeb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FF472F">
        <w:rPr>
          <w:rFonts w:ascii="Open Sans" w:hAnsi="Open Sans" w:cs="Open Sans"/>
          <w:sz w:val="20"/>
          <w:szCs w:val="20"/>
        </w:rPr>
        <w:t>Tim Krieger, NLQ, Fachbereich 53, Datenschutzbeauftragter im NLQ</w:t>
      </w:r>
    </w:p>
    <w:p w14:paraId="1FC66A1C" w14:textId="198077ED" w:rsidR="00F14352" w:rsidRPr="00FF472F" w:rsidRDefault="00095D37" w:rsidP="00F14352">
      <w:pPr>
        <w:pStyle w:val="StandardWeb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Stefan Fokken, NLQ, Fachbereich 52</w:t>
      </w:r>
    </w:p>
    <w:p w14:paraId="22CF0967" w14:textId="4C6B7210" w:rsidR="00CE2DBC" w:rsidRDefault="00CE2DBC">
      <w:r>
        <w:t>Auf welcher rechtlichen Grundlage ist eine Verarbeitungstätigkeit zulässig?</w:t>
      </w:r>
    </w:p>
    <w:p w14:paraId="5AEC83BA" w14:textId="1EF90121" w:rsidR="00CE2DBC" w:rsidRPr="005056CC" w:rsidRDefault="00CE2DBC" w:rsidP="00CE2DBC">
      <w:pPr>
        <w:rPr>
          <w:lang w:val="en-US"/>
        </w:rPr>
      </w:pPr>
      <w:r>
        <w:t xml:space="preserve">              </w:t>
      </w:r>
      <w:sdt>
        <w:sdtPr>
          <w:rPr>
            <w:lang w:val="en-US"/>
          </w:rPr>
          <w:id w:val="15033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F19" w:rsidRPr="005056C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5056CC">
        <w:rPr>
          <w:lang w:val="en-US"/>
        </w:rPr>
        <w:t xml:space="preserve">  DSG-VO, Art 6, Abs. (1), lit. a)</w:t>
      </w:r>
    </w:p>
    <w:p w14:paraId="7B3999BD" w14:textId="7067D4C9" w:rsidR="00CE2DBC" w:rsidRDefault="00CE2DBC" w:rsidP="00CE2DBC">
      <w:r w:rsidRPr="005056CC">
        <w:rPr>
          <w:lang w:val="en-US"/>
        </w:rPr>
        <w:t xml:space="preserve">              </w:t>
      </w:r>
      <w:sdt>
        <w:sdtPr>
          <w:id w:val="-20206966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1E75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proofErr w:type="spellStart"/>
      <w:r>
        <w:t>NSchG</w:t>
      </w:r>
      <w:proofErr w:type="spellEnd"/>
      <w:r>
        <w:t>, § 31, Abs. (5)</w:t>
      </w:r>
    </w:p>
    <w:p w14:paraId="1672C792" w14:textId="785DBD35" w:rsidR="00CE2DBC" w:rsidRDefault="00CE2DBC" w:rsidP="00CE2DBC">
      <w:r>
        <w:lastRenderedPageBreak/>
        <w:t xml:space="preserve">              </w:t>
      </w:r>
      <w:sdt>
        <w:sdtPr>
          <w:id w:val="53993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F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BDSG, § 26, Abs. (1)</w:t>
      </w:r>
    </w:p>
    <w:p w14:paraId="14B37A18" w14:textId="348872C5" w:rsidR="00CE2DBC" w:rsidRDefault="00867F19" w:rsidP="00CE2DBC">
      <w:r>
        <w:t xml:space="preserve">              </w:t>
      </w:r>
      <w:sdt>
        <w:sdtPr>
          <w:id w:val="-179011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E7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NBG, § 88, Abs. (1)</w:t>
      </w:r>
    </w:p>
    <w:p w14:paraId="1D1B39DF" w14:textId="03A260A1" w:rsidR="00D523FC" w:rsidRDefault="00FA160F" w:rsidP="009C5855">
      <w:pPr>
        <w:ind w:left="709"/>
      </w:pPr>
      <w:sdt>
        <w:sdtPr>
          <w:id w:val="122141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855">
            <w:rPr>
              <w:rFonts w:ascii="MS Gothic" w:eastAsia="MS Gothic" w:hAnsi="MS Gothic" w:hint="eastAsia"/>
            </w:rPr>
            <w:t>☐</w:t>
          </w:r>
        </w:sdtContent>
      </w:sdt>
      <w:r w:rsidR="00D523FC">
        <w:t xml:space="preserve">  </w:t>
      </w:r>
      <w:r w:rsidR="009C5855">
        <w:t>andere: ____________________</w:t>
      </w:r>
    </w:p>
    <w:p w14:paraId="5103A515" w14:textId="13E0E53B" w:rsidR="00CE2DBC" w:rsidRDefault="00CE2DBC"/>
    <w:p w14:paraId="08553906" w14:textId="2F2E6B16" w:rsidR="00B20570" w:rsidRDefault="00B20570">
      <w:r>
        <w:t>Ist der Dienst an VIDIS angeschlossen und über VIDIS aufrufbar?</w:t>
      </w:r>
    </w:p>
    <w:p w14:paraId="0259093A" w14:textId="2CC39EE8" w:rsidR="00B20570" w:rsidRDefault="00B20570"/>
    <w:p w14:paraId="559124CF" w14:textId="1B44FC42" w:rsidR="00B20570" w:rsidRDefault="00B20570" w:rsidP="00B20570">
      <w:r>
        <w:t xml:space="preserve">              </w:t>
      </w:r>
      <w:sdt>
        <w:sdtPr>
          <w:id w:val="19955316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784D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Ja                                       </w:t>
      </w:r>
      <w:sdt>
        <w:sdtPr>
          <w:id w:val="-100751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Nein </w:t>
      </w:r>
    </w:p>
    <w:p w14:paraId="67B403E5" w14:textId="77777777" w:rsidR="00B20570" w:rsidRDefault="00B20570"/>
    <w:p w14:paraId="6F16685C" w14:textId="77777777" w:rsidR="00B20570" w:rsidRDefault="00B20570"/>
    <w:p w14:paraId="16FBBBC3" w14:textId="48794344" w:rsidR="003D70B4" w:rsidRDefault="003D70B4">
      <w:r>
        <w:t>E</w:t>
      </w:r>
      <w:r w:rsidR="00B34EF2" w:rsidRPr="00B34EF2">
        <w:t xml:space="preserve">rfüllt </w:t>
      </w:r>
      <w:r>
        <w:t xml:space="preserve">der Dienst </w:t>
      </w:r>
      <w:r w:rsidR="00B34EF2" w:rsidRPr="00B34EF2">
        <w:t>die Teilnahmekriterien des VIDIS Projekts</w:t>
      </w:r>
      <w:r w:rsidR="00B34EF2">
        <w:t xml:space="preserve"> gem. VIDIS-Prüfbericht auf Basis </w:t>
      </w:r>
      <w:r>
        <w:t xml:space="preserve">des </w:t>
      </w:r>
      <w:proofErr w:type="spellStart"/>
      <w:r>
        <w:t>eduCheck</w:t>
      </w:r>
      <w:proofErr w:type="spellEnd"/>
      <w:r>
        <w:t xml:space="preserve"> digital Kriterienkatalogs</w:t>
      </w:r>
    </w:p>
    <w:p w14:paraId="1C77FF72" w14:textId="77777777" w:rsidR="003D70B4" w:rsidRDefault="003D70B4"/>
    <w:p w14:paraId="724BFB63" w14:textId="60C9A484" w:rsidR="000B4F13" w:rsidRDefault="003D70B4">
      <w:r w:rsidRPr="003D70B4">
        <w:t xml:space="preserve"> </w:t>
      </w:r>
    </w:p>
    <w:p w14:paraId="70634408" w14:textId="3D0EC26F" w:rsidR="003D70B4" w:rsidRDefault="003D70B4" w:rsidP="003D70B4">
      <w:r>
        <w:t xml:space="preserve">              </w:t>
      </w:r>
      <w:sdt>
        <w:sdtPr>
          <w:id w:val="804954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784D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Ja                                       </w:t>
      </w:r>
      <w:sdt>
        <w:sdtPr>
          <w:id w:val="-196264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Nein </w:t>
      </w:r>
    </w:p>
    <w:p w14:paraId="30AA8D6B" w14:textId="3C3DEED8" w:rsidR="003D70B4" w:rsidRDefault="003D70B4"/>
    <w:p w14:paraId="3CC78E4F" w14:textId="3ADF0C72" w:rsidR="00C1059E" w:rsidRDefault="00C1059E" w:rsidP="00C1059E">
      <w:pPr>
        <w:pStyle w:val="StandardWeb"/>
      </w:pPr>
      <w:r>
        <w:t xml:space="preserve">Prüfbericht liegt </w:t>
      </w:r>
      <w:r w:rsidR="009C5855">
        <w:t xml:space="preserve">als Anlage </w:t>
      </w:r>
      <w:r>
        <w:t xml:space="preserve">vor </w:t>
      </w:r>
    </w:p>
    <w:p w14:paraId="09A2D7AA" w14:textId="19ED354D" w:rsidR="0052784D" w:rsidRDefault="00231F74" w:rsidP="00231F74">
      <w:r>
        <w:t xml:space="preserve">Wurde eine Schwellenwertanalyse </w:t>
      </w:r>
      <w:r w:rsidR="00D73A11">
        <w:t>zu dem Erfordernis</w:t>
      </w:r>
      <w:r>
        <w:t xml:space="preserve"> einer DSFA durchgeführt?</w:t>
      </w:r>
    </w:p>
    <w:p w14:paraId="709580BC" w14:textId="77777777" w:rsidR="00231F74" w:rsidRDefault="00231F74" w:rsidP="00231F74"/>
    <w:p w14:paraId="576DBFA0" w14:textId="285D50F7" w:rsidR="00231F74" w:rsidRDefault="00231F74" w:rsidP="00231F74">
      <w:r>
        <w:t xml:space="preserve">              </w:t>
      </w:r>
      <w:sdt>
        <w:sdtPr>
          <w:id w:val="-18188726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Ja                                       </w:t>
      </w:r>
      <w:sdt>
        <w:sdtPr>
          <w:id w:val="165826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Nein </w:t>
      </w:r>
    </w:p>
    <w:p w14:paraId="275397DF" w14:textId="2428FA5A" w:rsidR="00231F74" w:rsidRDefault="00231F74" w:rsidP="002070B6">
      <w:r>
        <w:t>Ergebnis</w:t>
      </w:r>
      <w:r w:rsidR="002070B6">
        <w:t xml:space="preserve"> (siehe im Detail dazu die Schwellenwertanalyse unter url:vis://1A3B21E2-9E8E-5842-060F-C0AB50D119E5/14/1018994)</w:t>
      </w:r>
      <w:r>
        <w:t xml:space="preserve">:               </w:t>
      </w:r>
    </w:p>
    <w:p w14:paraId="71EDB533" w14:textId="77777777" w:rsidR="00A5442E" w:rsidRDefault="00231F74" w:rsidP="00291F13">
      <w:r>
        <w:tab/>
        <w:t xml:space="preserve">          </w:t>
      </w:r>
    </w:p>
    <w:p w14:paraId="0B63F084" w14:textId="474D6175" w:rsidR="00A5442E" w:rsidRDefault="00A5442E" w:rsidP="00A5442E">
      <w:pPr>
        <w:tabs>
          <w:tab w:val="clear" w:pos="170"/>
          <w:tab w:val="left" w:pos="709"/>
        </w:tabs>
      </w:pPr>
      <w:r>
        <w:tab/>
        <w:t xml:space="preserve">Werden </w:t>
      </w:r>
      <w:r w:rsidR="00291F13">
        <w:t>personenbezogene Daten in großem Umfang</w:t>
      </w:r>
      <w:r>
        <w:t xml:space="preserve"> verarbeitet</w:t>
      </w:r>
      <w:r w:rsidR="00291F13">
        <w:t>?</w:t>
      </w:r>
    </w:p>
    <w:p w14:paraId="62F5412C" w14:textId="0BAE04F5" w:rsidR="00A5442E" w:rsidRDefault="00291F13" w:rsidP="00A5442E">
      <w:pPr>
        <w:tabs>
          <w:tab w:val="clear" w:pos="170"/>
          <w:tab w:val="left" w:pos="1134"/>
        </w:tabs>
      </w:pPr>
      <w:r>
        <w:t xml:space="preserve"> </w:t>
      </w:r>
      <w:r w:rsidR="00A5442E">
        <w:t xml:space="preserve">            </w:t>
      </w:r>
      <w:r w:rsidR="00A5442E">
        <w:tab/>
      </w:r>
      <w:sdt>
        <w:sdtPr>
          <w:id w:val="-189950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42E">
            <w:rPr>
              <w:rFonts w:ascii="MS Gothic" w:eastAsia="MS Gothic" w:hAnsi="MS Gothic" w:hint="eastAsia"/>
            </w:rPr>
            <w:t>☐</w:t>
          </w:r>
        </w:sdtContent>
      </w:sdt>
      <w:r w:rsidR="00A5442E">
        <w:t xml:space="preserve">  Ja                                       </w:t>
      </w:r>
      <w:sdt>
        <w:sdtPr>
          <w:id w:val="-7178250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442E">
            <w:rPr>
              <w:rFonts w:ascii="MS Gothic" w:eastAsia="MS Gothic" w:hAnsi="MS Gothic" w:hint="eastAsia"/>
            </w:rPr>
            <w:t>☒</w:t>
          </w:r>
        </w:sdtContent>
      </w:sdt>
      <w:r w:rsidR="00A5442E">
        <w:t xml:space="preserve">  Nein</w:t>
      </w:r>
      <w:r w:rsidR="00D943B0">
        <w:rPr>
          <w:rStyle w:val="Funotenzeichen"/>
        </w:rPr>
        <w:footnoteReference w:id="1"/>
      </w:r>
      <w:r w:rsidR="00A5442E">
        <w:t xml:space="preserve"> </w:t>
      </w:r>
    </w:p>
    <w:p w14:paraId="7E0AF2C2" w14:textId="75D211F8" w:rsidR="00291F13" w:rsidRDefault="00291F13" w:rsidP="00291F13"/>
    <w:p w14:paraId="050FF33E" w14:textId="2582EFAC" w:rsidR="00291F13" w:rsidRDefault="00A5442E" w:rsidP="00A5442E">
      <w:pPr>
        <w:tabs>
          <w:tab w:val="clear" w:pos="170"/>
          <w:tab w:val="left" w:pos="709"/>
        </w:tabs>
        <w:ind w:left="708"/>
      </w:pPr>
      <w:r>
        <w:tab/>
      </w:r>
      <w:r w:rsidR="00291F13">
        <w:t xml:space="preserve">Handelt es sich um sensible Daten (z.B. Gesundheitsdaten, Daten zur ethnischen Herkunft) oder besondere Kategorien von Daten? </w:t>
      </w:r>
    </w:p>
    <w:p w14:paraId="1DDBBDF9" w14:textId="1213AE22" w:rsidR="00A5442E" w:rsidRDefault="00A5442E" w:rsidP="00A5442E">
      <w:pPr>
        <w:tabs>
          <w:tab w:val="clear" w:pos="170"/>
          <w:tab w:val="left" w:pos="1134"/>
        </w:tabs>
      </w:pPr>
      <w:r>
        <w:t xml:space="preserve">             </w:t>
      </w:r>
      <w:r>
        <w:tab/>
      </w:r>
      <w:sdt>
        <w:sdtPr>
          <w:id w:val="123597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Ja                                       </w:t>
      </w:r>
      <w:sdt>
        <w:sdtPr>
          <w:id w:val="9258487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Nein </w:t>
      </w:r>
    </w:p>
    <w:p w14:paraId="180C1C6E" w14:textId="77777777" w:rsidR="00A5442E" w:rsidRDefault="00A5442E" w:rsidP="00A5442E">
      <w:pPr>
        <w:tabs>
          <w:tab w:val="clear" w:pos="170"/>
          <w:tab w:val="left" w:pos="1134"/>
        </w:tabs>
      </w:pPr>
    </w:p>
    <w:p w14:paraId="4FF34141" w14:textId="63D28885" w:rsidR="00291F13" w:rsidRDefault="00A5442E" w:rsidP="00A5442E">
      <w:pPr>
        <w:tabs>
          <w:tab w:val="clear" w:pos="170"/>
          <w:tab w:val="left" w:pos="709"/>
        </w:tabs>
        <w:ind w:left="708"/>
      </w:pPr>
      <w:r>
        <w:tab/>
        <w:t>Wird</w:t>
      </w:r>
      <w:r w:rsidR="00291F13">
        <w:t xml:space="preserve"> auf automatisierte Entscheidungsfindung, </w:t>
      </w:r>
      <w:proofErr w:type="spellStart"/>
      <w:r w:rsidR="00291F13">
        <w:t>Profiling</w:t>
      </w:r>
      <w:proofErr w:type="spellEnd"/>
      <w:r w:rsidR="00291F13">
        <w:t xml:space="preserve"> oder KI-gestützte Prozesse</w:t>
      </w:r>
      <w:r>
        <w:t xml:space="preserve"> gesetzt</w:t>
      </w:r>
      <w:r w:rsidR="00291F13">
        <w:t xml:space="preserve">? </w:t>
      </w:r>
    </w:p>
    <w:p w14:paraId="659B14FD" w14:textId="77777777" w:rsidR="00A5442E" w:rsidRDefault="00A5442E" w:rsidP="00A5442E">
      <w:pPr>
        <w:tabs>
          <w:tab w:val="clear" w:pos="170"/>
          <w:tab w:val="left" w:pos="1134"/>
        </w:tabs>
      </w:pPr>
      <w:r>
        <w:t xml:space="preserve">             </w:t>
      </w:r>
      <w:r>
        <w:tab/>
      </w:r>
      <w:sdt>
        <w:sdtPr>
          <w:id w:val="98181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Ja                                       </w:t>
      </w:r>
      <w:sdt>
        <w:sdtPr>
          <w:id w:val="-13969751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Nein </w:t>
      </w:r>
    </w:p>
    <w:p w14:paraId="1ECC436A" w14:textId="77777777" w:rsidR="00A5442E" w:rsidRDefault="00A5442E" w:rsidP="00A5442E">
      <w:pPr>
        <w:tabs>
          <w:tab w:val="clear" w:pos="170"/>
          <w:tab w:val="left" w:pos="709"/>
        </w:tabs>
      </w:pPr>
    </w:p>
    <w:p w14:paraId="421B2923" w14:textId="4001ACF1" w:rsidR="00291F13" w:rsidRDefault="002070B6" w:rsidP="002070B6">
      <w:pPr>
        <w:tabs>
          <w:tab w:val="clear" w:pos="170"/>
          <w:tab w:val="left" w:pos="709"/>
        </w:tabs>
      </w:pPr>
      <w:r>
        <w:tab/>
      </w:r>
      <w:r w:rsidR="00A5442E">
        <w:t xml:space="preserve">Wird </w:t>
      </w:r>
      <w:r w:rsidR="00291F13">
        <w:t>Videoüberwachung oder andere Formen der Überwachung</w:t>
      </w:r>
      <w:r w:rsidR="00A5442E">
        <w:t xml:space="preserve"> eingesetzt</w:t>
      </w:r>
      <w:r w:rsidR="00291F13">
        <w:t xml:space="preserve">? </w:t>
      </w:r>
    </w:p>
    <w:p w14:paraId="5A2B3EFA" w14:textId="77777777" w:rsidR="002070B6" w:rsidRDefault="002070B6" w:rsidP="002070B6">
      <w:pPr>
        <w:tabs>
          <w:tab w:val="clear" w:pos="170"/>
          <w:tab w:val="left" w:pos="1134"/>
        </w:tabs>
      </w:pPr>
      <w:r>
        <w:t xml:space="preserve">             </w:t>
      </w:r>
      <w:r>
        <w:tab/>
      </w:r>
      <w:sdt>
        <w:sdtPr>
          <w:id w:val="51705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Ja                                       </w:t>
      </w:r>
      <w:sdt>
        <w:sdtPr>
          <w:id w:val="-14291086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Nein </w:t>
      </w:r>
    </w:p>
    <w:p w14:paraId="481BEB57" w14:textId="77777777" w:rsidR="002070B6" w:rsidRDefault="002070B6" w:rsidP="002070B6">
      <w:pPr>
        <w:tabs>
          <w:tab w:val="clear" w:pos="170"/>
          <w:tab w:val="left" w:pos="709"/>
        </w:tabs>
      </w:pPr>
    </w:p>
    <w:p w14:paraId="1B54630F" w14:textId="77777777" w:rsidR="002070B6" w:rsidRDefault="002070B6" w:rsidP="002070B6">
      <w:pPr>
        <w:tabs>
          <w:tab w:val="clear" w:pos="170"/>
          <w:tab w:val="left" w:pos="709"/>
        </w:tabs>
      </w:pPr>
    </w:p>
    <w:p w14:paraId="7A3CBA80" w14:textId="5620CA39" w:rsidR="00291F13" w:rsidRDefault="002070B6" w:rsidP="005732F6">
      <w:pPr>
        <w:tabs>
          <w:tab w:val="clear" w:pos="170"/>
          <w:tab w:val="left" w:pos="709"/>
        </w:tabs>
      </w:pPr>
      <w:r>
        <w:tab/>
      </w:r>
      <w:r w:rsidR="00231F74">
        <w:t xml:space="preserve"> </w:t>
      </w:r>
      <w:sdt>
        <w:sdtPr>
          <w:id w:val="6998253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1F74">
            <w:rPr>
              <w:rFonts w:ascii="MS Gothic" w:eastAsia="MS Gothic" w:hAnsi="MS Gothic" w:hint="eastAsia"/>
            </w:rPr>
            <w:t>☒</w:t>
          </w:r>
        </w:sdtContent>
      </w:sdt>
      <w:r w:rsidR="00231F74">
        <w:t xml:space="preserve">  DSFA nicht erforderlich                                       </w:t>
      </w:r>
      <w:sdt>
        <w:sdtPr>
          <w:id w:val="-195354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F74">
            <w:rPr>
              <w:rFonts w:ascii="MS Gothic" w:eastAsia="MS Gothic" w:hAnsi="MS Gothic" w:hint="eastAsia"/>
            </w:rPr>
            <w:t>☐</w:t>
          </w:r>
        </w:sdtContent>
      </w:sdt>
      <w:r w:rsidR="00231F74">
        <w:t xml:space="preserve">  DSFA erforderlich</w:t>
      </w:r>
    </w:p>
    <w:p w14:paraId="2F009F8C" w14:textId="3A91E5B0" w:rsidR="00B20570" w:rsidRDefault="00B20570"/>
    <w:p w14:paraId="6600619E" w14:textId="7C3BD6B5" w:rsidR="00B86BBB" w:rsidRDefault="00B86BBB" w:rsidP="00B86BBB"/>
    <w:p w14:paraId="1EA8D3B2" w14:textId="77777777" w:rsidR="008A1E75" w:rsidRDefault="008A1E75" w:rsidP="00B86BBB"/>
    <w:p w14:paraId="25E43988" w14:textId="77777777" w:rsidR="00B86BBB" w:rsidRDefault="00B86BBB" w:rsidP="00B86BBB"/>
    <w:p w14:paraId="29C64B1F" w14:textId="26EB1EF5" w:rsidR="00B86BBB" w:rsidRPr="00B86BBB" w:rsidRDefault="00B86BBB" w:rsidP="00B86BBB">
      <w:pPr>
        <w:spacing w:line="360" w:lineRule="auto"/>
        <w:rPr>
          <w:b/>
          <w:sz w:val="24"/>
          <w:szCs w:val="24"/>
        </w:rPr>
      </w:pPr>
      <w:r w:rsidRPr="00B86BBB">
        <w:rPr>
          <w:b/>
          <w:sz w:val="24"/>
          <w:szCs w:val="24"/>
        </w:rPr>
        <w:t>Eine Freigabe des Dienstes kann unter datenschutzrechtlicher Betrachtung  empfohlen werden.</w:t>
      </w:r>
    </w:p>
    <w:p w14:paraId="373CBE8D" w14:textId="77777777" w:rsidR="00B86BBB" w:rsidRDefault="00B86BBB" w:rsidP="00B86BBB"/>
    <w:p w14:paraId="3066FC58" w14:textId="77777777" w:rsidR="00B86BBB" w:rsidRDefault="00B86BBB" w:rsidP="00B86BBB">
      <w:r>
        <w:t xml:space="preserve">              </w:t>
      </w:r>
      <w:sdt>
        <w:sdtPr>
          <w:id w:val="-12218261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Ja                                       </w:t>
      </w:r>
      <w:sdt>
        <w:sdtPr>
          <w:id w:val="-172219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Nein </w:t>
      </w:r>
    </w:p>
    <w:p w14:paraId="5920D4F4" w14:textId="77777777" w:rsidR="00B86BBB" w:rsidRDefault="00B86BBB"/>
    <w:sectPr w:rsidR="00B86B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0EA6" w14:textId="77777777" w:rsidR="000B4F13" w:rsidRDefault="000B4F13" w:rsidP="000B4F13">
      <w:pPr>
        <w:spacing w:line="240" w:lineRule="auto"/>
      </w:pPr>
      <w:r>
        <w:separator/>
      </w:r>
    </w:p>
  </w:endnote>
  <w:endnote w:type="continuationSeparator" w:id="0">
    <w:p w14:paraId="443389AE" w14:textId="77777777" w:rsidR="000B4F13" w:rsidRDefault="000B4F13" w:rsidP="000B4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2FCBC" w14:textId="77777777" w:rsidR="000B4F13" w:rsidRDefault="000B4F13" w:rsidP="000B4F13">
      <w:pPr>
        <w:spacing w:line="240" w:lineRule="auto"/>
      </w:pPr>
      <w:r>
        <w:separator/>
      </w:r>
    </w:p>
  </w:footnote>
  <w:footnote w:type="continuationSeparator" w:id="0">
    <w:p w14:paraId="4E030B5F" w14:textId="77777777" w:rsidR="000B4F13" w:rsidRDefault="000B4F13" w:rsidP="000B4F13">
      <w:pPr>
        <w:spacing w:line="240" w:lineRule="auto"/>
      </w:pPr>
      <w:r>
        <w:continuationSeparator/>
      </w:r>
    </w:p>
  </w:footnote>
  <w:footnote w:id="1">
    <w:p w14:paraId="2E00EF1D" w14:textId="1952FB65" w:rsidR="00D943B0" w:rsidRDefault="00D943B0">
      <w:pPr>
        <w:pStyle w:val="Funotentext"/>
      </w:pPr>
      <w:r>
        <w:rPr>
          <w:rStyle w:val="Funotenzeichen"/>
        </w:rPr>
        <w:footnoteRef/>
      </w:r>
      <w:r>
        <w:t xml:space="preserve"> Vgl. </w:t>
      </w:r>
      <w:r w:rsidRPr="00D943B0">
        <w:t xml:space="preserve">25dd11v08 Schwellwertanalyse </w:t>
      </w:r>
      <w:proofErr w:type="spellStart"/>
      <w:r w:rsidRPr="00D943B0">
        <w:t>MerlinMediathek</w:t>
      </w:r>
      <w:proofErr w:type="spellEnd"/>
      <w:r>
        <w:t xml:space="preserve">: Hier wird eine rein quantitative Bewertung nur auf Grundlage der bloßen Verarbeitung von Daten von </w:t>
      </w:r>
      <w:r w:rsidR="00F53882">
        <w:t xml:space="preserve">potentiell vielen Lehrkräften und/oder </w:t>
      </w:r>
      <w:r>
        <w:t>Schülerinnen und Schüler als nicht grundlegend ohne die zusätzliche qualitative Betrachtung (welche Daten</w:t>
      </w:r>
      <w:r w:rsidR="00F53882">
        <w:t xml:space="preserve"> wie verarbeitet werden) erachtet.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C59E8"/>
    <w:multiLevelType w:val="hybridMultilevel"/>
    <w:tmpl w:val="A2BEE0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F2607"/>
    <w:multiLevelType w:val="hybridMultilevel"/>
    <w:tmpl w:val="99420F7C"/>
    <w:lvl w:ilvl="0" w:tplc="FB302D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13"/>
    <w:rsid w:val="00050B0A"/>
    <w:rsid w:val="00095D37"/>
    <w:rsid w:val="000B4F13"/>
    <w:rsid w:val="000B703E"/>
    <w:rsid w:val="000D20EA"/>
    <w:rsid w:val="001234C9"/>
    <w:rsid w:val="002070B6"/>
    <w:rsid w:val="00231F74"/>
    <w:rsid w:val="00291F13"/>
    <w:rsid w:val="002F316E"/>
    <w:rsid w:val="00332511"/>
    <w:rsid w:val="003330D6"/>
    <w:rsid w:val="00362E1D"/>
    <w:rsid w:val="003D0692"/>
    <w:rsid w:val="003D70B4"/>
    <w:rsid w:val="00401468"/>
    <w:rsid w:val="00446CA4"/>
    <w:rsid w:val="004A13B4"/>
    <w:rsid w:val="005056CC"/>
    <w:rsid w:val="0052784D"/>
    <w:rsid w:val="00532880"/>
    <w:rsid w:val="005732F6"/>
    <w:rsid w:val="005B41A4"/>
    <w:rsid w:val="005C6B57"/>
    <w:rsid w:val="005D33A4"/>
    <w:rsid w:val="005E4F51"/>
    <w:rsid w:val="00665F4F"/>
    <w:rsid w:val="006707BE"/>
    <w:rsid w:val="0067710F"/>
    <w:rsid w:val="006C3BFD"/>
    <w:rsid w:val="006E1EBB"/>
    <w:rsid w:val="00802324"/>
    <w:rsid w:val="00867F19"/>
    <w:rsid w:val="00882CE7"/>
    <w:rsid w:val="008A1E75"/>
    <w:rsid w:val="008B18B9"/>
    <w:rsid w:val="0095169F"/>
    <w:rsid w:val="009C5855"/>
    <w:rsid w:val="00A5442E"/>
    <w:rsid w:val="00B20570"/>
    <w:rsid w:val="00B34EF2"/>
    <w:rsid w:val="00B70950"/>
    <w:rsid w:val="00B84191"/>
    <w:rsid w:val="00B86BBB"/>
    <w:rsid w:val="00BB2056"/>
    <w:rsid w:val="00C1059E"/>
    <w:rsid w:val="00C439E7"/>
    <w:rsid w:val="00C60121"/>
    <w:rsid w:val="00C87D78"/>
    <w:rsid w:val="00CE2DBC"/>
    <w:rsid w:val="00D416DE"/>
    <w:rsid w:val="00D523FC"/>
    <w:rsid w:val="00D73A11"/>
    <w:rsid w:val="00D943B0"/>
    <w:rsid w:val="00DA0BBF"/>
    <w:rsid w:val="00E455A1"/>
    <w:rsid w:val="00E516D1"/>
    <w:rsid w:val="00E97704"/>
    <w:rsid w:val="00F14352"/>
    <w:rsid w:val="00F53882"/>
    <w:rsid w:val="00FA160F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7752"/>
  <w15:chartTrackingRefBased/>
  <w15:docId w15:val="{CAD6A3E6-4F65-4F80-8DDE-E1CDFF85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4F13"/>
    <w:pPr>
      <w:tabs>
        <w:tab w:val="left" w:pos="170"/>
        <w:tab w:val="left" w:pos="7371"/>
        <w:tab w:val="left" w:pos="7796"/>
        <w:tab w:val="right" w:pos="9923"/>
      </w:tabs>
      <w:spacing w:after="0" w:line="280" w:lineRule="exact"/>
      <w:jc w:val="both"/>
    </w:pPr>
    <w:rPr>
      <w:rFonts w:ascii="Open Sans" w:hAnsi="Open Sans" w:cs="Linux Biolinum"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4F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unhideWhenUsed/>
    <w:rsid w:val="000B4F13"/>
    <w:rPr>
      <w:rFonts w:ascii="Open Sans" w:hAnsi="Open Sans"/>
      <w:b w:val="0"/>
      <w:i w:val="0"/>
      <w:spacing w:val="0"/>
      <w:kern w:val="0"/>
      <w:position w:val="0"/>
      <w:sz w:val="18"/>
      <w:bdr w:val="none" w:sz="0" w:space="0" w:color="auto"/>
      <w:vertAlign w:val="superscript"/>
      <w14:numForm w14:val="default"/>
    </w:rPr>
  </w:style>
  <w:style w:type="paragraph" w:styleId="Funotentext">
    <w:name w:val="footnote text"/>
    <w:basedOn w:val="Standard"/>
    <w:link w:val="FunotentextZchn"/>
    <w:rsid w:val="000B4F13"/>
    <w:pPr>
      <w:tabs>
        <w:tab w:val="clear" w:pos="7371"/>
        <w:tab w:val="clear" w:pos="7796"/>
        <w:tab w:val="clear" w:pos="9923"/>
      </w:tabs>
      <w:spacing w:line="240" w:lineRule="auto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rsid w:val="000B4F13"/>
    <w:rPr>
      <w:rFonts w:ascii="Open Sans" w:hAnsi="Open Sans" w:cs="Linux Biolinum"/>
      <w:sz w:val="14"/>
      <w:szCs w:val="20"/>
    </w:rPr>
  </w:style>
  <w:style w:type="paragraph" w:customStyle="1" w:styleId="berschrift2ohneAufzhlung">
    <w:name w:val="Überschrift 2 (ohne Aufzählung)"/>
    <w:basedOn w:val="berschrift2"/>
    <w:qFormat/>
    <w:rsid w:val="000B4F13"/>
    <w:pPr>
      <w:tabs>
        <w:tab w:val="clear" w:pos="170"/>
        <w:tab w:val="clear" w:pos="7371"/>
        <w:tab w:val="clear" w:pos="7796"/>
        <w:tab w:val="clear" w:pos="9923"/>
      </w:tabs>
      <w:spacing w:before="0" w:after="240" w:line="340" w:lineRule="exact"/>
    </w:pPr>
    <w:rPr>
      <w:rFonts w:ascii="Arial" w:hAnsi="Arial"/>
      <w:color w:val="E0003C"/>
      <w:sz w:val="32"/>
    </w:rPr>
  </w:style>
  <w:style w:type="paragraph" w:customStyle="1" w:styleId="Tabelle">
    <w:name w:val="Tabelle"/>
    <w:qFormat/>
    <w:rsid w:val="000B4F13"/>
    <w:pPr>
      <w:spacing w:after="0" w:line="240" w:lineRule="auto"/>
    </w:pPr>
    <w:rPr>
      <w:rFonts w:ascii="Arial" w:hAnsi="Arial" w:cs="Arial"/>
      <w:color w:val="000000" w:themeColor="text1"/>
      <w:sz w:val="18"/>
      <w:szCs w:val="18"/>
    </w:rPr>
  </w:style>
  <w:style w:type="table" w:customStyle="1" w:styleId="Gitternetztabelle2Akzent41">
    <w:name w:val="Gitternetztabelle 2 – Akzent 41"/>
    <w:basedOn w:val="NormaleTabelle"/>
    <w:uiPriority w:val="47"/>
    <w:rsid w:val="000B4F13"/>
    <w:pPr>
      <w:spacing w:before="40" w:after="40" w:line="240" w:lineRule="auto"/>
      <w:ind w:left="221"/>
    </w:pPr>
    <w:rPr>
      <w:rFonts w:ascii="Arial" w:hAnsi="Arial" w:cs="Arial"/>
      <w:color w:val="000000" w:themeColor="text1"/>
      <w:sz w:val="18"/>
      <w:szCs w:val="18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4F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C1059E"/>
    <w:pPr>
      <w:tabs>
        <w:tab w:val="clear" w:pos="170"/>
        <w:tab w:val="clear" w:pos="7371"/>
        <w:tab w:val="clear" w:pos="7796"/>
        <w:tab w:val="clear" w:pos="9923"/>
      </w:tabs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5B41A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325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25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2511"/>
    <w:rPr>
      <w:rFonts w:ascii="Open Sans" w:hAnsi="Open Sans" w:cs="Linux Biolinum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25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2511"/>
    <w:rPr>
      <w:rFonts w:ascii="Open Sans" w:hAnsi="Open Sans" w:cs="Linux Biolinum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4F05-154A-4E0D-8765-DAE531B2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Sudmann, Dirk (MK)</dc:creator>
  <cp:keywords/>
  <dc:description/>
  <cp:lastModifiedBy>Sudmann, Dirk (MK)</cp:lastModifiedBy>
  <cp:revision>3</cp:revision>
  <dcterms:created xsi:type="dcterms:W3CDTF">2025-09-15T11:41:00Z</dcterms:created>
  <dcterms:modified xsi:type="dcterms:W3CDTF">2025-09-16T07:16:00Z</dcterms:modified>
</cp:coreProperties>
</file>